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prüfen: Vorlage zur Bestandsaufnahme und Entscheidungsvorbereitung</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Dämmung hinter der Holzfassade: Was muss im Bestand beachtet werden?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39holzfassade.de/index.html" TargetMode="External"/><Relationship Id="rId10" Type="http://schemas.openxmlformats.org/officeDocument/2006/relationships/hyperlink" Target="https://gcs.039holzfassade.de/paket-cd51ac5e41bf4a5cb7a975b380be28f4/d-mmung-hinter-der-holzfassade-was-muss-im-bestand-beachtet-werden-636f4d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